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附件一：</w:t>
      </w:r>
      <w:bookmarkStart w:id="0" w:name="_GoBack"/>
      <w:r>
        <w:rPr>
          <w:rFonts w:hint="eastAsia" w:ascii="华文中宋" w:hAnsi="华文中宋" w:eastAsia="华文中宋" w:cs="华文中宋"/>
          <w:sz w:val="36"/>
          <w:szCs w:val="36"/>
        </w:rPr>
        <w:t>2020年“骨质疏松和骨矿盐疾病中青年医生优才培养计划暨白求恩·石药骨质疏松科研基金项目”</w:t>
      </w: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申报要求</w:t>
      </w:r>
    </w:p>
    <w:bookmarkEnd w:id="0"/>
    <w:p>
      <w:pPr>
        <w:pStyle w:val="5"/>
        <w:spacing w:beforeAutospacing="0" w:afterAutospacing="0" w:line="460" w:lineRule="exact"/>
        <w:ind w:firstLine="600" w:firstLineChars="200"/>
        <w:rPr>
          <w:rFonts w:ascii="仿宋" w:hAnsi="仿宋" w:eastAsia="仿宋" w:cs="仿宋"/>
          <w:spacing w:val="20"/>
          <w:sz w:val="30"/>
          <w:szCs w:val="30"/>
        </w:rPr>
      </w:pPr>
      <w:r>
        <w:rPr>
          <w:rFonts w:hint="eastAsia" w:ascii="仿宋" w:hAnsi="仿宋" w:eastAsia="仿宋" w:cs="仿宋"/>
          <w:sz w:val="30"/>
          <w:szCs w:val="30"/>
        </w:rPr>
        <w:t>一、</w:t>
      </w:r>
      <w:r>
        <w:rPr>
          <w:rFonts w:hint="eastAsia" w:ascii="仿宋" w:hAnsi="仿宋" w:eastAsia="仿宋" w:cs="仿宋"/>
          <w:spacing w:val="20"/>
          <w:sz w:val="30"/>
          <w:szCs w:val="30"/>
        </w:rPr>
        <w:t>申请时间：</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项目申请接收工作自2020年1月1日开始，3月30日截止。</w:t>
      </w:r>
    </w:p>
    <w:p>
      <w:pPr>
        <w:pStyle w:val="5"/>
        <w:spacing w:beforeAutospacing="0" w:afterAutospacing="0" w:line="460" w:lineRule="exact"/>
        <w:ind w:firstLine="600" w:firstLineChars="200"/>
        <w:rPr>
          <w:rFonts w:ascii="仿宋" w:hAnsi="仿宋" w:eastAsia="仿宋" w:cs="仿宋"/>
          <w:spacing w:val="20"/>
          <w:sz w:val="30"/>
          <w:szCs w:val="30"/>
        </w:rPr>
      </w:pPr>
      <w:r>
        <w:rPr>
          <w:rFonts w:hint="eastAsia" w:ascii="仿宋" w:hAnsi="仿宋" w:eastAsia="仿宋" w:cs="仿宋"/>
          <w:sz w:val="30"/>
          <w:szCs w:val="30"/>
        </w:rPr>
        <w:t>二、</w:t>
      </w:r>
      <w:r>
        <w:rPr>
          <w:rFonts w:hint="eastAsia" w:ascii="仿宋" w:hAnsi="仿宋" w:eastAsia="仿宋" w:cs="仿宋"/>
          <w:spacing w:val="20"/>
          <w:sz w:val="30"/>
          <w:szCs w:val="30"/>
        </w:rPr>
        <w:t>项目资助范围</w:t>
      </w:r>
    </w:p>
    <w:p>
      <w:pPr>
        <w:pStyle w:val="5"/>
        <w:shd w:val="clear" w:color="auto" w:fill="FFFFFF"/>
        <w:spacing w:beforeAutospacing="0" w:afterAutospacing="0" w:line="460" w:lineRule="exact"/>
        <w:ind w:firstLine="620" w:firstLineChars="200"/>
        <w:rPr>
          <w:rFonts w:ascii="仿宋" w:hAnsi="仿宋" w:eastAsia="仿宋" w:cs="仿宋"/>
          <w:sz w:val="30"/>
          <w:szCs w:val="30"/>
        </w:rPr>
      </w:pPr>
      <w:r>
        <w:rPr>
          <w:rFonts w:hint="eastAsia" w:ascii="仿宋" w:hAnsi="仿宋" w:eastAsia="仿宋" w:cs="仿宋"/>
          <w:spacing w:val="5"/>
          <w:sz w:val="30"/>
          <w:szCs w:val="30"/>
          <w:shd w:val="clear" w:color="auto" w:fill="FFFFFF"/>
        </w:rPr>
        <w:t>项目资助的疾病领域为内分泌科、骨质疏松科、骨科、风湿科、老年科等骨质疏松相关科室，研究内容为骨质疏松症的创新型临床研究或基础研究，具有可操作性并造福于患者。</w:t>
      </w:r>
    </w:p>
    <w:p>
      <w:pPr>
        <w:pStyle w:val="5"/>
        <w:spacing w:beforeAutospacing="0" w:afterAutospacing="0" w:line="460" w:lineRule="exact"/>
        <w:ind w:firstLine="600" w:firstLineChars="200"/>
        <w:rPr>
          <w:rFonts w:ascii="仿宋" w:hAnsi="仿宋" w:eastAsia="仿宋" w:cs="仿宋"/>
          <w:spacing w:val="20"/>
          <w:sz w:val="30"/>
          <w:szCs w:val="30"/>
        </w:rPr>
      </w:pPr>
      <w:r>
        <w:rPr>
          <w:rFonts w:hint="eastAsia" w:ascii="仿宋" w:hAnsi="仿宋" w:eastAsia="仿宋" w:cs="仿宋"/>
          <w:sz w:val="30"/>
          <w:szCs w:val="30"/>
        </w:rPr>
        <w:t>三、</w:t>
      </w:r>
      <w:r>
        <w:rPr>
          <w:rFonts w:hint="eastAsia" w:ascii="仿宋" w:hAnsi="仿宋" w:eastAsia="仿宋" w:cs="仿宋"/>
          <w:spacing w:val="20"/>
          <w:sz w:val="30"/>
          <w:szCs w:val="30"/>
        </w:rPr>
        <w:t>申请者条件</w:t>
      </w:r>
    </w:p>
    <w:p>
      <w:pPr>
        <w:spacing w:line="460" w:lineRule="exact"/>
        <w:ind w:firstLine="620" w:firstLineChars="200"/>
        <w:rPr>
          <w:rFonts w:ascii="仿宋" w:hAnsi="仿宋" w:eastAsia="仿宋" w:cs="仿宋"/>
          <w:sz w:val="30"/>
          <w:szCs w:val="30"/>
          <w:lang w:bidi="ar"/>
        </w:rPr>
      </w:pPr>
      <w:r>
        <w:rPr>
          <w:rFonts w:hint="eastAsia" w:ascii="仿宋" w:hAnsi="仿宋" w:eastAsia="仿宋" w:cs="仿宋"/>
          <w:spacing w:val="5"/>
          <w:sz w:val="30"/>
          <w:szCs w:val="30"/>
          <w:lang w:bidi="ar"/>
        </w:rPr>
        <w:t>（一）年龄在40岁以下的中青年医师；</w:t>
      </w:r>
    </w:p>
    <w:p>
      <w:pPr>
        <w:spacing w:line="460" w:lineRule="exact"/>
        <w:ind w:firstLine="620" w:firstLineChars="200"/>
        <w:rPr>
          <w:rFonts w:ascii="仿宋" w:hAnsi="仿宋" w:eastAsia="仿宋" w:cs="仿宋"/>
          <w:spacing w:val="5"/>
          <w:sz w:val="30"/>
          <w:szCs w:val="30"/>
          <w:lang w:bidi="ar"/>
        </w:rPr>
      </w:pPr>
      <w:r>
        <w:rPr>
          <w:rFonts w:hint="eastAsia" w:ascii="仿宋" w:hAnsi="仿宋" w:eastAsia="仿宋" w:cs="仿宋"/>
          <w:spacing w:val="5"/>
          <w:sz w:val="30"/>
          <w:szCs w:val="30"/>
          <w:lang w:bidi="ar"/>
        </w:rPr>
        <w:t>（二）具备临床研究资质的单位，副主任医师及以下、住院医生及以上职称（不包括在读研究生）；</w:t>
      </w:r>
    </w:p>
    <w:p>
      <w:pPr>
        <w:spacing w:line="460" w:lineRule="exact"/>
        <w:ind w:firstLine="620" w:firstLineChars="200"/>
        <w:rPr>
          <w:rFonts w:ascii="仿宋" w:hAnsi="仿宋" w:eastAsia="仿宋" w:cs="仿宋"/>
          <w:spacing w:val="5"/>
          <w:sz w:val="30"/>
          <w:szCs w:val="30"/>
          <w:lang w:bidi="ar"/>
        </w:rPr>
      </w:pPr>
      <w:r>
        <w:rPr>
          <w:rFonts w:hint="eastAsia" w:ascii="仿宋" w:hAnsi="仿宋" w:eastAsia="仿宋" w:cs="仿宋"/>
          <w:spacing w:val="5"/>
          <w:sz w:val="30"/>
          <w:szCs w:val="30"/>
          <w:lang w:bidi="ar"/>
        </w:rPr>
        <w:t>（三）内分泌科、骨质疏松科、骨科、风湿科、老年科等骨质疏松相关科室；</w:t>
      </w:r>
    </w:p>
    <w:p>
      <w:pPr>
        <w:spacing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lang w:bidi="ar"/>
        </w:rPr>
        <w:t>（四）研究内容为骨质疏松症的创新型临床研究或基础研究，具有可操作性并造福于患者。</w:t>
      </w:r>
    </w:p>
    <w:p>
      <w:pPr>
        <w:pStyle w:val="5"/>
        <w:spacing w:beforeAutospacing="0" w:afterAutospacing="0" w:line="460" w:lineRule="exact"/>
        <w:ind w:firstLine="600" w:firstLineChars="200"/>
        <w:rPr>
          <w:rFonts w:ascii="仿宋" w:hAnsi="仿宋" w:eastAsia="仿宋" w:cs="仿宋"/>
          <w:spacing w:val="20"/>
          <w:sz w:val="30"/>
          <w:szCs w:val="30"/>
        </w:rPr>
      </w:pPr>
      <w:r>
        <w:rPr>
          <w:rFonts w:hint="eastAsia" w:ascii="仿宋" w:hAnsi="仿宋" w:eastAsia="仿宋" w:cs="仿宋"/>
          <w:sz w:val="30"/>
          <w:szCs w:val="30"/>
        </w:rPr>
        <w:t>四、</w:t>
      </w:r>
      <w:r>
        <w:rPr>
          <w:rFonts w:hint="eastAsia" w:ascii="仿宋" w:hAnsi="仿宋" w:eastAsia="仿宋" w:cs="仿宋"/>
          <w:spacing w:val="20"/>
          <w:sz w:val="30"/>
          <w:szCs w:val="30"/>
        </w:rPr>
        <w:t>申请评审标准</w:t>
      </w:r>
    </w:p>
    <w:p>
      <w:pPr>
        <w:spacing w:line="460" w:lineRule="exact"/>
        <w:ind w:firstLine="620" w:firstLineChars="200"/>
        <w:rPr>
          <w:rFonts w:ascii="仿宋" w:hAnsi="仿宋" w:eastAsia="仿宋" w:cs="仿宋"/>
          <w:spacing w:val="5"/>
          <w:sz w:val="30"/>
          <w:szCs w:val="30"/>
          <w:lang w:bidi="ar"/>
        </w:rPr>
      </w:pPr>
      <w:r>
        <w:rPr>
          <w:rFonts w:hint="eastAsia" w:ascii="仿宋" w:hAnsi="仿宋" w:eastAsia="仿宋" w:cs="仿宋"/>
          <w:spacing w:val="5"/>
          <w:sz w:val="30"/>
          <w:szCs w:val="30"/>
          <w:lang w:bidi="ar"/>
        </w:rPr>
        <w:t>（一）根据评审标准由专家评委会确定可资助金额范围，根据项目的实际预算给予资助；</w:t>
      </w:r>
    </w:p>
    <w:p>
      <w:pPr>
        <w:spacing w:line="460" w:lineRule="exact"/>
        <w:ind w:firstLine="620" w:firstLineChars="200"/>
        <w:rPr>
          <w:rFonts w:ascii="仿宋" w:hAnsi="仿宋" w:eastAsia="仿宋" w:cs="仿宋"/>
          <w:spacing w:val="5"/>
          <w:sz w:val="30"/>
          <w:szCs w:val="30"/>
          <w:lang w:bidi="ar"/>
        </w:rPr>
      </w:pPr>
      <w:r>
        <w:rPr>
          <w:rFonts w:hint="eastAsia" w:ascii="仿宋" w:hAnsi="仿宋" w:eastAsia="仿宋" w:cs="仿宋"/>
          <w:spacing w:val="5"/>
          <w:sz w:val="30"/>
          <w:szCs w:val="30"/>
          <w:lang w:bidi="ar"/>
        </w:rPr>
        <w:t>（二）申报课题必须学术思想新颖、立论依据充分、研究目标明确、研究内容具体、研究方法合理可行、可获得新的研究成果和近期可取得重要进展。申请者与课题组成员具备实施该课题的研究能力、工作基础扎实、有可靠时间保证、具有基本研究条件、经费预算合理。</w:t>
      </w:r>
    </w:p>
    <w:p>
      <w:pPr>
        <w:spacing w:line="460" w:lineRule="exact"/>
        <w:ind w:firstLine="620" w:firstLineChars="200"/>
        <w:rPr>
          <w:rFonts w:ascii="仿宋" w:hAnsi="仿宋" w:eastAsia="仿宋" w:cs="仿宋"/>
          <w:sz w:val="30"/>
          <w:szCs w:val="30"/>
        </w:rPr>
      </w:pPr>
      <w:r>
        <w:rPr>
          <w:rFonts w:hint="eastAsia" w:ascii="仿宋" w:hAnsi="仿宋" w:eastAsia="仿宋" w:cs="仿宋"/>
          <w:spacing w:val="5"/>
          <w:sz w:val="30"/>
          <w:szCs w:val="30"/>
          <w:lang w:bidi="ar"/>
        </w:rPr>
        <w:t>（三）申报课题应同时具备以下特征：科学性、创新性、实用性和可行性。</w:t>
      </w:r>
    </w:p>
    <w:p>
      <w:pPr>
        <w:pStyle w:val="5"/>
        <w:spacing w:beforeAutospacing="0" w:afterAutospacing="0" w:line="460" w:lineRule="exact"/>
        <w:ind w:firstLine="600" w:firstLineChars="200"/>
        <w:rPr>
          <w:rFonts w:ascii="仿宋" w:hAnsi="仿宋" w:eastAsia="仿宋" w:cs="仿宋"/>
          <w:spacing w:val="20"/>
          <w:sz w:val="30"/>
          <w:szCs w:val="30"/>
        </w:rPr>
      </w:pPr>
      <w:r>
        <w:rPr>
          <w:rFonts w:hint="eastAsia" w:ascii="仿宋" w:hAnsi="仿宋" w:eastAsia="仿宋" w:cs="仿宋"/>
          <w:sz w:val="30"/>
          <w:szCs w:val="30"/>
        </w:rPr>
        <w:t>五、</w:t>
      </w:r>
      <w:r>
        <w:rPr>
          <w:rFonts w:hint="eastAsia" w:ascii="仿宋" w:hAnsi="仿宋" w:eastAsia="仿宋" w:cs="仿宋"/>
          <w:spacing w:val="20"/>
          <w:sz w:val="30"/>
          <w:szCs w:val="30"/>
        </w:rPr>
        <w:t>资助标准</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项目为期18个月，其中评审活动持续2个月，研究开展16个月，2020年计划资助25个骨质疏松症的创新型临床研究或基础研究项目，资助金额（人民币）见下：</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临床研究11个，每个研究资助5万元；</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基础研究8个，每个研究资助3万元；</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基础研究6个，每个研究资助2万元。</w:t>
      </w:r>
    </w:p>
    <w:p>
      <w:pPr>
        <w:pStyle w:val="5"/>
        <w:spacing w:beforeAutospacing="0" w:afterAutospacing="0" w:line="460" w:lineRule="exact"/>
        <w:ind w:firstLine="600" w:firstLineChars="200"/>
        <w:rPr>
          <w:rFonts w:ascii="仿宋" w:hAnsi="仿宋" w:eastAsia="仿宋" w:cs="仿宋"/>
          <w:spacing w:val="20"/>
          <w:sz w:val="30"/>
          <w:szCs w:val="30"/>
        </w:rPr>
      </w:pPr>
      <w:r>
        <w:rPr>
          <w:rFonts w:hint="eastAsia" w:ascii="仿宋" w:hAnsi="仿宋" w:eastAsia="仿宋" w:cs="仿宋"/>
          <w:sz w:val="30"/>
          <w:szCs w:val="30"/>
        </w:rPr>
        <w:t>六、</w:t>
      </w:r>
      <w:r>
        <w:rPr>
          <w:rFonts w:hint="eastAsia" w:ascii="仿宋" w:hAnsi="仿宋" w:eastAsia="仿宋" w:cs="仿宋"/>
          <w:spacing w:val="20"/>
          <w:sz w:val="30"/>
          <w:szCs w:val="30"/>
        </w:rPr>
        <w:t>申请方式</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申请人在“中华医学会骨质疏松和骨矿盐疾病学分会”官方网站（http://www.csobmr.org.cn/）或“白求恩公益基金会”官方网站（http:// www.bqejjh.org.cn/）自行下载并完成申请表格的填写，申请人需在申报截止日之前将项目申请表发送到中华医学会骨质疏松和骨矿盐疾病学分会秘书处高超gcflight@126.com、魏占英wzhyabcd@126.com，并注明“骨质疏松科研基金项目”，秘书处联系人电话：高老师13817342712、魏老师18930170546，项目最终解释权归中华医学会骨质疏松和骨矿盐疾病学分会秘书处。项目申请期结束后，不再受理申请。</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具体收集时间请关注中华医学会骨质疏松和骨矿盐疾病学分会官方网站及白求恩公益基金会官方网站通知。</w:t>
      </w:r>
    </w:p>
    <w:p>
      <w:pPr>
        <w:pStyle w:val="5"/>
        <w:spacing w:beforeAutospacing="0" w:afterAutospacing="0" w:line="460" w:lineRule="exact"/>
        <w:ind w:firstLine="600" w:firstLineChars="200"/>
        <w:rPr>
          <w:rFonts w:ascii="仿宋" w:hAnsi="仿宋" w:eastAsia="仿宋" w:cs="仿宋"/>
          <w:spacing w:val="20"/>
          <w:sz w:val="30"/>
          <w:szCs w:val="30"/>
        </w:rPr>
      </w:pPr>
      <w:r>
        <w:rPr>
          <w:rFonts w:hint="eastAsia" w:ascii="仿宋" w:hAnsi="仿宋" w:eastAsia="仿宋" w:cs="仿宋"/>
          <w:sz w:val="30"/>
          <w:szCs w:val="30"/>
        </w:rPr>
        <w:t>七、</w:t>
      </w:r>
      <w:r>
        <w:rPr>
          <w:rFonts w:hint="eastAsia" w:ascii="仿宋" w:hAnsi="仿宋" w:eastAsia="仿宋" w:cs="仿宋"/>
          <w:spacing w:val="20"/>
          <w:sz w:val="30"/>
          <w:szCs w:val="30"/>
        </w:rPr>
        <w:t>评审</w:t>
      </w:r>
    </w:p>
    <w:p>
      <w:pPr>
        <w:pStyle w:val="5"/>
        <w:shd w:val="clear" w:color="auto" w:fill="FFFFFF"/>
        <w:spacing w:beforeAutospacing="0" w:afterAutospacing="0" w:line="460" w:lineRule="exact"/>
        <w:ind w:firstLine="622" w:firstLineChars="200"/>
        <w:rPr>
          <w:rFonts w:ascii="仿宋" w:hAnsi="仿宋" w:eastAsia="仿宋" w:cs="仿宋"/>
          <w:spacing w:val="5"/>
          <w:sz w:val="30"/>
          <w:szCs w:val="30"/>
        </w:rPr>
      </w:pPr>
      <w:r>
        <w:rPr>
          <w:rStyle w:val="9"/>
          <w:rFonts w:hint="eastAsia" w:ascii="仿宋" w:hAnsi="仿宋" w:eastAsia="仿宋" w:cs="仿宋"/>
          <w:spacing w:val="5"/>
          <w:sz w:val="30"/>
          <w:szCs w:val="30"/>
          <w:shd w:val="clear" w:color="auto" w:fill="FFFFFF"/>
        </w:rPr>
        <w:t>（一）初审：</w:t>
      </w:r>
      <w:r>
        <w:rPr>
          <w:rFonts w:hint="eastAsia" w:ascii="仿宋" w:hAnsi="仿宋" w:eastAsia="仿宋" w:cs="仿宋"/>
          <w:spacing w:val="5"/>
          <w:sz w:val="30"/>
          <w:szCs w:val="30"/>
          <w:shd w:val="clear" w:color="auto" w:fill="FFFFFF"/>
        </w:rPr>
        <w:t>中华医学会骨质疏松和骨矿盐疾病学分会负责申报课题的初审，有以下情况之一者将被初筛掉：</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1、申请者不具备申请办法规定的申请资格；</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2、申请手续不完备,申请书填写不符合规定；</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3、不符合科研基金资助范围；</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4、明显缺乏立论依据,或研究方法、技术路线明显不清,无法进行评审；</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5、不具备实施该项目的研究能力,或缺乏基本的研究条件；</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6、申请经费过多,科研基金无力支持；</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7、申请者对已获资助项目,不执行科学基金资助项目管理的有关规定,且未按要求补正的;不认真开展研究工作,未取得研究结果或未撰写一篇论文的；</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8、申请者须同时参与。</w:t>
      </w:r>
    </w:p>
    <w:p>
      <w:pPr>
        <w:pStyle w:val="5"/>
        <w:shd w:val="clear" w:color="auto" w:fill="FFFFFF"/>
        <w:spacing w:beforeAutospacing="0" w:afterAutospacing="0" w:line="460" w:lineRule="exact"/>
        <w:ind w:firstLine="622" w:firstLineChars="200"/>
        <w:rPr>
          <w:rFonts w:ascii="仿宋" w:hAnsi="仿宋" w:eastAsia="仿宋" w:cs="仿宋"/>
          <w:spacing w:val="5"/>
          <w:sz w:val="30"/>
          <w:szCs w:val="30"/>
        </w:rPr>
      </w:pPr>
      <w:r>
        <w:rPr>
          <w:rStyle w:val="9"/>
          <w:rFonts w:hint="eastAsia" w:ascii="仿宋" w:hAnsi="仿宋" w:eastAsia="仿宋" w:cs="仿宋"/>
          <w:spacing w:val="5"/>
          <w:sz w:val="30"/>
          <w:szCs w:val="30"/>
          <w:shd w:val="clear" w:color="auto" w:fill="FFFFFF"/>
        </w:rPr>
        <w:t>（二）终审：</w:t>
      </w:r>
      <w:r>
        <w:rPr>
          <w:rFonts w:hint="eastAsia" w:ascii="仿宋" w:hAnsi="仿宋" w:eastAsia="仿宋" w:cs="仿宋"/>
          <w:spacing w:val="5"/>
          <w:sz w:val="30"/>
          <w:szCs w:val="30"/>
          <w:shd w:val="clear" w:color="auto" w:fill="FFFFFF"/>
        </w:rPr>
        <w:t>采用随机盲评的评审形式，三名评审专家对一份方案进行盲审打分，取平均分。最终选取前二十五名课题。</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备注：评审两轮，初审和复审（入围35个课题以上即可）</w:t>
      </w:r>
    </w:p>
    <w:p>
      <w:pPr>
        <w:pStyle w:val="5"/>
        <w:shd w:val="clear" w:color="auto" w:fill="FFFFFF"/>
        <w:spacing w:beforeAutospacing="0" w:afterAutospacing="0" w:line="460" w:lineRule="exact"/>
        <w:ind w:firstLine="622" w:firstLineChars="200"/>
        <w:rPr>
          <w:rFonts w:ascii="仿宋" w:hAnsi="仿宋" w:eastAsia="仿宋" w:cs="仿宋"/>
          <w:spacing w:val="5"/>
          <w:sz w:val="30"/>
          <w:szCs w:val="30"/>
        </w:rPr>
      </w:pPr>
      <w:r>
        <w:rPr>
          <w:rStyle w:val="9"/>
          <w:rFonts w:hint="eastAsia" w:ascii="仿宋" w:hAnsi="仿宋" w:eastAsia="仿宋" w:cs="仿宋"/>
          <w:spacing w:val="5"/>
          <w:sz w:val="30"/>
          <w:szCs w:val="30"/>
          <w:shd w:val="clear" w:color="auto" w:fill="FFFFFF"/>
        </w:rPr>
        <w:t>(三)签署意见。</w:t>
      </w:r>
      <w:r>
        <w:rPr>
          <w:rFonts w:hint="eastAsia" w:ascii="仿宋" w:hAnsi="仿宋" w:eastAsia="仿宋" w:cs="仿宋"/>
          <w:spacing w:val="5"/>
          <w:sz w:val="30"/>
          <w:szCs w:val="30"/>
          <w:shd w:val="clear" w:color="auto" w:fill="FFFFFF"/>
        </w:rPr>
        <w:t>资助金额需要在申请人填报时给出预算，通过的课题，根据三个不同资助金额的级别进行评审和资助，由主审专家在申请书内签署立项意见和建议资助金额。</w:t>
      </w:r>
    </w:p>
    <w:p>
      <w:pPr>
        <w:pStyle w:val="5"/>
        <w:shd w:val="clear" w:color="auto" w:fill="FFFFFF"/>
        <w:spacing w:beforeAutospacing="0" w:afterAutospacing="0" w:line="460" w:lineRule="exact"/>
        <w:ind w:firstLine="622" w:firstLineChars="200"/>
        <w:rPr>
          <w:rFonts w:ascii="仿宋" w:hAnsi="仿宋" w:eastAsia="仿宋" w:cs="仿宋"/>
          <w:spacing w:val="5"/>
          <w:sz w:val="30"/>
          <w:szCs w:val="30"/>
        </w:rPr>
      </w:pPr>
      <w:r>
        <w:rPr>
          <w:rStyle w:val="9"/>
          <w:rFonts w:hint="eastAsia" w:ascii="仿宋" w:hAnsi="仿宋" w:eastAsia="仿宋" w:cs="仿宋"/>
          <w:spacing w:val="5"/>
          <w:sz w:val="30"/>
          <w:szCs w:val="30"/>
          <w:shd w:val="clear" w:color="auto" w:fill="FFFFFF"/>
        </w:rPr>
        <w:t>（四）总结报告。</w:t>
      </w:r>
      <w:r>
        <w:rPr>
          <w:rFonts w:hint="eastAsia" w:ascii="仿宋" w:hAnsi="仿宋" w:eastAsia="仿宋" w:cs="仿宋"/>
          <w:spacing w:val="5"/>
          <w:sz w:val="30"/>
          <w:szCs w:val="30"/>
          <w:shd w:val="clear" w:color="auto" w:fill="FFFFFF"/>
        </w:rPr>
        <w:t>评审结束后，评审委员要对本年度申报情况及课题质量进行分析和总结，对下一年度项目评审工作提出意见，提交书面报告。</w:t>
      </w:r>
    </w:p>
    <w:p>
      <w:pPr>
        <w:pStyle w:val="5"/>
        <w:spacing w:beforeAutospacing="0" w:afterAutospacing="0" w:line="460" w:lineRule="exact"/>
        <w:ind w:firstLine="600" w:firstLineChars="200"/>
        <w:rPr>
          <w:rFonts w:ascii="仿宋" w:hAnsi="仿宋" w:eastAsia="仿宋" w:cs="仿宋"/>
          <w:spacing w:val="20"/>
          <w:sz w:val="30"/>
          <w:szCs w:val="30"/>
        </w:rPr>
      </w:pPr>
      <w:r>
        <w:rPr>
          <w:rFonts w:hint="eastAsia" w:ascii="仿宋" w:hAnsi="仿宋" w:eastAsia="仿宋" w:cs="仿宋"/>
          <w:sz w:val="30"/>
          <w:szCs w:val="30"/>
        </w:rPr>
        <w:t>八、</w:t>
      </w:r>
      <w:r>
        <w:rPr>
          <w:rFonts w:hint="eastAsia" w:ascii="仿宋" w:hAnsi="仿宋" w:eastAsia="仿宋" w:cs="仿宋"/>
          <w:spacing w:val="20"/>
          <w:sz w:val="30"/>
          <w:szCs w:val="30"/>
        </w:rPr>
        <w:t>评审原则</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（一）中华医学会骨质疏松和骨矿盐疾病学分会对申报材料进行审查并组织有关专家进行评审。评审方式均采用双盲原则，同院评审不评定同院的申报材料。</w:t>
      </w:r>
    </w:p>
    <w:p>
      <w:pPr>
        <w:pStyle w:val="5"/>
        <w:shd w:val="clear" w:color="auto" w:fill="FFFFFF"/>
        <w:spacing w:beforeAutospacing="0" w:afterAutospacing="0" w:line="460" w:lineRule="exact"/>
        <w:ind w:firstLine="620" w:firstLineChars="200"/>
        <w:rPr>
          <w:rFonts w:ascii="仿宋" w:hAnsi="仿宋" w:eastAsia="仿宋" w:cs="仿宋"/>
          <w:spacing w:val="5"/>
          <w:sz w:val="30"/>
          <w:szCs w:val="30"/>
        </w:rPr>
      </w:pPr>
      <w:r>
        <w:rPr>
          <w:rFonts w:hint="eastAsia" w:ascii="仿宋" w:hAnsi="仿宋" w:eastAsia="仿宋" w:cs="仿宋"/>
          <w:spacing w:val="5"/>
          <w:sz w:val="30"/>
          <w:szCs w:val="30"/>
          <w:shd w:val="clear" w:color="auto" w:fill="FFFFFF"/>
        </w:rPr>
        <w:t>（二）评审专家委员会将对所有申请进行科学评审，秉承“公平、公正、公开”的原则，择优选拔。主要从科学性、创新性、可行性等方面，依据评审标准对研究方案进行评审。</w:t>
      </w:r>
    </w:p>
    <w:p>
      <w:pPr>
        <w:spacing w:line="460" w:lineRule="exact"/>
        <w:ind w:firstLine="620" w:firstLineChars="200"/>
        <w:jc w:val="both"/>
        <w:rPr>
          <w:rFonts w:ascii="仿宋" w:hAnsi="仿宋" w:eastAsia="仿宋" w:cs="仿宋"/>
          <w:sz w:val="28"/>
          <w:szCs w:val="28"/>
        </w:rPr>
      </w:pPr>
      <w:r>
        <w:rPr>
          <w:rFonts w:hint="eastAsia" w:ascii="仿宋" w:hAnsi="仿宋" w:eastAsia="仿宋" w:cs="仿宋"/>
          <w:spacing w:val="5"/>
          <w:sz w:val="30"/>
          <w:szCs w:val="30"/>
          <w:shd w:val="clear" w:color="auto" w:fill="FFFFFF"/>
        </w:rPr>
        <w:t>（三）评审结果将在中华医学会骨质疏松和骨矿盐疾病分会官网、白求恩公益基金会官网、石药集团药品事业部公众号等进行公布。基金会根据评审结果与中选研究者单位签订协议，并向中选研究者单位分批划拨资助研究经费，中选研究者单位需出具正规发票。</w:t>
      </w:r>
    </w:p>
    <w:p>
      <w:pPr>
        <w:wordWrap w:val="0"/>
        <w:spacing w:line="240" w:lineRule="atLeast"/>
        <w:ind w:right="480"/>
        <w:rPr>
          <w:rFonts w:ascii="宋体" w:hAnsi="宋体" w:eastAsiaTheme="minorEastAsia"/>
          <w:b/>
          <w:color w:val="000000"/>
        </w:rPr>
      </w:pPr>
    </w:p>
    <w:sectPr>
      <w:headerReference r:id="rId4" w:type="first"/>
      <w:footerReference r:id="rId5" w:type="first"/>
      <w:headerReference r:id="rId3" w:type="even"/>
      <w:pgSz w:w="11906" w:h="16838"/>
      <w:pgMar w:top="2098" w:right="1474" w:bottom="1984" w:left="1587" w:header="851" w:footer="992" w:gutter="0"/>
      <w:cols w:space="0" w:num="1"/>
      <w:titlePg/>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0" distR="0" simplePos="0" relativeHeight="251661312" behindDoc="1" locked="0" layoutInCell="1" allowOverlap="1">
          <wp:simplePos x="0" y="0"/>
          <wp:positionH relativeFrom="column">
            <wp:posOffset>-131445</wp:posOffset>
          </wp:positionH>
          <wp:positionV relativeFrom="paragraph">
            <wp:posOffset>-493395</wp:posOffset>
          </wp:positionV>
          <wp:extent cx="5835650" cy="86360"/>
          <wp:effectExtent l="0" t="0" r="0" b="0"/>
          <wp:wrapNone/>
          <wp:docPr id="4098" name="Image1" descr="红头文件纸模板（北京双杠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Image1" descr="红头文件纸模板（北京双杠版）.jpg"/>
                  <pic:cNvPicPr>
                    <a:picLocks noChangeAspect="1"/>
                  </pic:cNvPicPr>
                </pic:nvPicPr>
                <pic:blipFill>
                  <a:blip r:embed="rId1" cstate="print">
                    <a:extLst>
                      <a:ext uri="{28A0092B-C50C-407E-A947-70E740481C1C}">
                        <a14:useLocalDpi xmlns:a14="http://schemas.microsoft.com/office/drawing/2010/main" val="0"/>
                      </a:ext>
                    </a:extLst>
                  </a:blip>
                  <a:srcRect l="7295" t="91447" r="7242" b="7597"/>
                  <a:stretch>
                    <a:fillRect/>
                  </a:stretch>
                </pic:blipFill>
                <pic:spPr>
                  <a:xfrm>
                    <a:off x="0" y="0"/>
                    <a:ext cx="5835650" cy="8636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column">
            <wp:posOffset>-44450</wp:posOffset>
          </wp:positionH>
          <wp:positionV relativeFrom="paragraph">
            <wp:posOffset>48895</wp:posOffset>
          </wp:positionV>
          <wp:extent cx="5690235" cy="718185"/>
          <wp:effectExtent l="0" t="0" r="0" b="0"/>
          <wp:wrapSquare wrapText="bothSides"/>
          <wp:docPr id="4097" name="Image1" descr="红头文件纸模板（国家单杠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Image1" descr="红头文件纸模板（国家单杠版）.jpg"/>
                  <pic:cNvPicPr>
                    <a:picLocks noChangeAspect="1"/>
                  </pic:cNvPicPr>
                </pic:nvPicPr>
                <pic:blipFill>
                  <a:blip r:embed="rId1" cstate="print">
                    <a:extLst>
                      <a:ext uri="{28A0092B-C50C-407E-A947-70E740481C1C}">
                        <a14:useLocalDpi xmlns:a14="http://schemas.microsoft.com/office/drawing/2010/main" val="0"/>
                      </a:ext>
                    </a:extLst>
                  </a:blip>
                  <a:srcRect l="11011" t="10294" r="10960" b="83331"/>
                  <a:stretch>
                    <a:fillRect/>
                  </a:stretch>
                </pic:blipFill>
                <pic:spPr>
                  <a:xfrm>
                    <a:off x="0" y="0"/>
                    <a:ext cx="5690235" cy="718185"/>
                  </a:xfrm>
                  <a:prstGeom prst="rect">
                    <a:avLst/>
                  </a:prstGeom>
                </pic:spPr>
              </pic:pic>
            </a:graphicData>
          </a:graphic>
        </wp:anchor>
      </w:drawing>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32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2F"/>
    <w:rsid w:val="00005C8A"/>
    <w:rsid w:val="00030911"/>
    <w:rsid w:val="00035CAE"/>
    <w:rsid w:val="00050BCF"/>
    <w:rsid w:val="00085958"/>
    <w:rsid w:val="000B7060"/>
    <w:rsid w:val="00107BD8"/>
    <w:rsid w:val="00110476"/>
    <w:rsid w:val="00111981"/>
    <w:rsid w:val="00112942"/>
    <w:rsid w:val="001167A5"/>
    <w:rsid w:val="00123AD5"/>
    <w:rsid w:val="0014035C"/>
    <w:rsid w:val="00140E75"/>
    <w:rsid w:val="00143145"/>
    <w:rsid w:val="00163065"/>
    <w:rsid w:val="0016527D"/>
    <w:rsid w:val="001A7F2F"/>
    <w:rsid w:val="001D4111"/>
    <w:rsid w:val="001D6B2E"/>
    <w:rsid w:val="001F7C8B"/>
    <w:rsid w:val="00252767"/>
    <w:rsid w:val="00273C12"/>
    <w:rsid w:val="00283EEF"/>
    <w:rsid w:val="002951EB"/>
    <w:rsid w:val="00297E46"/>
    <w:rsid w:val="002A73C8"/>
    <w:rsid w:val="002C0A77"/>
    <w:rsid w:val="002C64ED"/>
    <w:rsid w:val="002C7E28"/>
    <w:rsid w:val="002D20E8"/>
    <w:rsid w:val="002E1E59"/>
    <w:rsid w:val="0030204E"/>
    <w:rsid w:val="00314FCE"/>
    <w:rsid w:val="00323720"/>
    <w:rsid w:val="00336091"/>
    <w:rsid w:val="0033642B"/>
    <w:rsid w:val="003404D7"/>
    <w:rsid w:val="00344D5B"/>
    <w:rsid w:val="00366564"/>
    <w:rsid w:val="00394188"/>
    <w:rsid w:val="003C4163"/>
    <w:rsid w:val="003D4994"/>
    <w:rsid w:val="003F5FE4"/>
    <w:rsid w:val="0044146B"/>
    <w:rsid w:val="004903F1"/>
    <w:rsid w:val="004B43A0"/>
    <w:rsid w:val="004C1355"/>
    <w:rsid w:val="004E03E7"/>
    <w:rsid w:val="004F2100"/>
    <w:rsid w:val="005123CB"/>
    <w:rsid w:val="00521F7A"/>
    <w:rsid w:val="005277F0"/>
    <w:rsid w:val="005322EF"/>
    <w:rsid w:val="005422AA"/>
    <w:rsid w:val="00552950"/>
    <w:rsid w:val="005B419C"/>
    <w:rsid w:val="005C4FAB"/>
    <w:rsid w:val="005D76B6"/>
    <w:rsid w:val="005E0583"/>
    <w:rsid w:val="006353E0"/>
    <w:rsid w:val="00651F4B"/>
    <w:rsid w:val="006659C5"/>
    <w:rsid w:val="006A643B"/>
    <w:rsid w:val="006B1D57"/>
    <w:rsid w:val="006B3E36"/>
    <w:rsid w:val="006C08A2"/>
    <w:rsid w:val="006C12F4"/>
    <w:rsid w:val="006E0225"/>
    <w:rsid w:val="006E15F0"/>
    <w:rsid w:val="006F6CC2"/>
    <w:rsid w:val="00733880"/>
    <w:rsid w:val="00736FFF"/>
    <w:rsid w:val="00746E65"/>
    <w:rsid w:val="00757C61"/>
    <w:rsid w:val="0076061D"/>
    <w:rsid w:val="00762D09"/>
    <w:rsid w:val="0077445C"/>
    <w:rsid w:val="00774C36"/>
    <w:rsid w:val="00776E01"/>
    <w:rsid w:val="00782323"/>
    <w:rsid w:val="007A681B"/>
    <w:rsid w:val="007B680C"/>
    <w:rsid w:val="007D2220"/>
    <w:rsid w:val="007D65AE"/>
    <w:rsid w:val="007D7CDF"/>
    <w:rsid w:val="007E0807"/>
    <w:rsid w:val="007E2E22"/>
    <w:rsid w:val="007F32ED"/>
    <w:rsid w:val="008107A8"/>
    <w:rsid w:val="0086283C"/>
    <w:rsid w:val="008661BB"/>
    <w:rsid w:val="00893772"/>
    <w:rsid w:val="008C3040"/>
    <w:rsid w:val="008C407D"/>
    <w:rsid w:val="008E0B10"/>
    <w:rsid w:val="008E0BC6"/>
    <w:rsid w:val="00957BD2"/>
    <w:rsid w:val="00963797"/>
    <w:rsid w:val="0097036D"/>
    <w:rsid w:val="009825D9"/>
    <w:rsid w:val="009B4438"/>
    <w:rsid w:val="009E3976"/>
    <w:rsid w:val="00A137C8"/>
    <w:rsid w:val="00A17535"/>
    <w:rsid w:val="00A21DA0"/>
    <w:rsid w:val="00A2223C"/>
    <w:rsid w:val="00A40530"/>
    <w:rsid w:val="00A8272F"/>
    <w:rsid w:val="00A91168"/>
    <w:rsid w:val="00A915D8"/>
    <w:rsid w:val="00AC389A"/>
    <w:rsid w:val="00AC4990"/>
    <w:rsid w:val="00AD0413"/>
    <w:rsid w:val="00AD4BC1"/>
    <w:rsid w:val="00AD5BBA"/>
    <w:rsid w:val="00AF263B"/>
    <w:rsid w:val="00B14676"/>
    <w:rsid w:val="00B36F43"/>
    <w:rsid w:val="00B50F11"/>
    <w:rsid w:val="00B53781"/>
    <w:rsid w:val="00B56987"/>
    <w:rsid w:val="00B60E40"/>
    <w:rsid w:val="00B90D46"/>
    <w:rsid w:val="00BA6475"/>
    <w:rsid w:val="00BC7743"/>
    <w:rsid w:val="00BD46A0"/>
    <w:rsid w:val="00BE5C2C"/>
    <w:rsid w:val="00C21CE6"/>
    <w:rsid w:val="00C2428B"/>
    <w:rsid w:val="00C35B3B"/>
    <w:rsid w:val="00C45CC9"/>
    <w:rsid w:val="00C64744"/>
    <w:rsid w:val="00CB3E8E"/>
    <w:rsid w:val="00CE17A6"/>
    <w:rsid w:val="00D06515"/>
    <w:rsid w:val="00D101BB"/>
    <w:rsid w:val="00D22AF2"/>
    <w:rsid w:val="00D306CB"/>
    <w:rsid w:val="00D44FA8"/>
    <w:rsid w:val="00D61EF2"/>
    <w:rsid w:val="00D66817"/>
    <w:rsid w:val="00D742DE"/>
    <w:rsid w:val="00D75CD2"/>
    <w:rsid w:val="00D8212B"/>
    <w:rsid w:val="00D82EA4"/>
    <w:rsid w:val="00DA2B9A"/>
    <w:rsid w:val="00DD641B"/>
    <w:rsid w:val="00DE5A5D"/>
    <w:rsid w:val="00DE6906"/>
    <w:rsid w:val="00E31533"/>
    <w:rsid w:val="00E55C37"/>
    <w:rsid w:val="00E65AAC"/>
    <w:rsid w:val="00E67FB2"/>
    <w:rsid w:val="00E731B4"/>
    <w:rsid w:val="00E87E53"/>
    <w:rsid w:val="00E96232"/>
    <w:rsid w:val="00EA4255"/>
    <w:rsid w:val="00EC7735"/>
    <w:rsid w:val="00ED667E"/>
    <w:rsid w:val="00EF1593"/>
    <w:rsid w:val="00EF5A8C"/>
    <w:rsid w:val="00F02DAB"/>
    <w:rsid w:val="00F12393"/>
    <w:rsid w:val="00F25ACE"/>
    <w:rsid w:val="00F3122F"/>
    <w:rsid w:val="00F51146"/>
    <w:rsid w:val="00F804BE"/>
    <w:rsid w:val="00F93DD2"/>
    <w:rsid w:val="00FB24A0"/>
    <w:rsid w:val="00FC3538"/>
    <w:rsid w:val="00FE255B"/>
    <w:rsid w:val="00FF5542"/>
    <w:rsid w:val="014D53D6"/>
    <w:rsid w:val="025B2464"/>
    <w:rsid w:val="02AD46E5"/>
    <w:rsid w:val="02E91D1C"/>
    <w:rsid w:val="03ED1E28"/>
    <w:rsid w:val="04960CC0"/>
    <w:rsid w:val="04F95927"/>
    <w:rsid w:val="051F1E32"/>
    <w:rsid w:val="055D16E4"/>
    <w:rsid w:val="058B55BB"/>
    <w:rsid w:val="05B05806"/>
    <w:rsid w:val="05DB757B"/>
    <w:rsid w:val="06607029"/>
    <w:rsid w:val="066E0543"/>
    <w:rsid w:val="06E225E3"/>
    <w:rsid w:val="07AE2A41"/>
    <w:rsid w:val="07B519B4"/>
    <w:rsid w:val="07E01A55"/>
    <w:rsid w:val="07F05C15"/>
    <w:rsid w:val="0868276C"/>
    <w:rsid w:val="095659BB"/>
    <w:rsid w:val="0A253CED"/>
    <w:rsid w:val="0A2558ED"/>
    <w:rsid w:val="0B6A1F23"/>
    <w:rsid w:val="0B9553FD"/>
    <w:rsid w:val="0C2A5F12"/>
    <w:rsid w:val="0C75304D"/>
    <w:rsid w:val="0D114385"/>
    <w:rsid w:val="0D4C7089"/>
    <w:rsid w:val="0E7F0EEB"/>
    <w:rsid w:val="0F4071DC"/>
    <w:rsid w:val="102F4904"/>
    <w:rsid w:val="11220E85"/>
    <w:rsid w:val="11266D9B"/>
    <w:rsid w:val="1159646A"/>
    <w:rsid w:val="122A7682"/>
    <w:rsid w:val="1236372A"/>
    <w:rsid w:val="126B0315"/>
    <w:rsid w:val="142F0FCD"/>
    <w:rsid w:val="14B428D6"/>
    <w:rsid w:val="153E30FB"/>
    <w:rsid w:val="154808EE"/>
    <w:rsid w:val="168F7A08"/>
    <w:rsid w:val="16DE570C"/>
    <w:rsid w:val="16EA465A"/>
    <w:rsid w:val="17BC0E01"/>
    <w:rsid w:val="18F222BC"/>
    <w:rsid w:val="1BE7707B"/>
    <w:rsid w:val="1C7B2DAC"/>
    <w:rsid w:val="1C7E6D5A"/>
    <w:rsid w:val="1E11232E"/>
    <w:rsid w:val="202E44F2"/>
    <w:rsid w:val="20494DB8"/>
    <w:rsid w:val="204A0719"/>
    <w:rsid w:val="20C43B6C"/>
    <w:rsid w:val="2277230F"/>
    <w:rsid w:val="2311049E"/>
    <w:rsid w:val="238F27AF"/>
    <w:rsid w:val="23E43720"/>
    <w:rsid w:val="23EB7197"/>
    <w:rsid w:val="241C6011"/>
    <w:rsid w:val="241D6B0E"/>
    <w:rsid w:val="24BC55FD"/>
    <w:rsid w:val="25B161B9"/>
    <w:rsid w:val="25EB2365"/>
    <w:rsid w:val="263F264D"/>
    <w:rsid w:val="26450896"/>
    <w:rsid w:val="273569F9"/>
    <w:rsid w:val="27585423"/>
    <w:rsid w:val="27902C6A"/>
    <w:rsid w:val="28387E9B"/>
    <w:rsid w:val="284952E0"/>
    <w:rsid w:val="285E603F"/>
    <w:rsid w:val="29082C1B"/>
    <w:rsid w:val="29126EC2"/>
    <w:rsid w:val="2B133D88"/>
    <w:rsid w:val="2BF73530"/>
    <w:rsid w:val="2C5153CF"/>
    <w:rsid w:val="2C561190"/>
    <w:rsid w:val="2D033FC9"/>
    <w:rsid w:val="2D314FB2"/>
    <w:rsid w:val="2D4073C9"/>
    <w:rsid w:val="2DD128E4"/>
    <w:rsid w:val="2DE9640B"/>
    <w:rsid w:val="2EB15A82"/>
    <w:rsid w:val="2FC823A7"/>
    <w:rsid w:val="335E79DA"/>
    <w:rsid w:val="34441AAB"/>
    <w:rsid w:val="35282722"/>
    <w:rsid w:val="354E4E78"/>
    <w:rsid w:val="35E10837"/>
    <w:rsid w:val="35EE5B1A"/>
    <w:rsid w:val="35F21DB8"/>
    <w:rsid w:val="36AF08D0"/>
    <w:rsid w:val="37B318C3"/>
    <w:rsid w:val="38716E6E"/>
    <w:rsid w:val="38BC2154"/>
    <w:rsid w:val="399F7633"/>
    <w:rsid w:val="39DF5439"/>
    <w:rsid w:val="39F950C2"/>
    <w:rsid w:val="3A59213E"/>
    <w:rsid w:val="3AAF1934"/>
    <w:rsid w:val="3ACA4BDC"/>
    <w:rsid w:val="3B46611A"/>
    <w:rsid w:val="3B5A76BB"/>
    <w:rsid w:val="3D5B7289"/>
    <w:rsid w:val="3D915406"/>
    <w:rsid w:val="3E681F4A"/>
    <w:rsid w:val="3E876648"/>
    <w:rsid w:val="3E9E5B36"/>
    <w:rsid w:val="3F5832DB"/>
    <w:rsid w:val="40353C33"/>
    <w:rsid w:val="416B5E25"/>
    <w:rsid w:val="42C60E02"/>
    <w:rsid w:val="435C670A"/>
    <w:rsid w:val="439B26E7"/>
    <w:rsid w:val="43BC5774"/>
    <w:rsid w:val="43CF29F1"/>
    <w:rsid w:val="440174C2"/>
    <w:rsid w:val="44DF0993"/>
    <w:rsid w:val="4510160B"/>
    <w:rsid w:val="457A2622"/>
    <w:rsid w:val="45CD4F09"/>
    <w:rsid w:val="47530A7D"/>
    <w:rsid w:val="477059CA"/>
    <w:rsid w:val="47DF1DB4"/>
    <w:rsid w:val="481D00CA"/>
    <w:rsid w:val="48F6185B"/>
    <w:rsid w:val="490F5322"/>
    <w:rsid w:val="492C4521"/>
    <w:rsid w:val="495C0C65"/>
    <w:rsid w:val="4A2328E1"/>
    <w:rsid w:val="4ADD148B"/>
    <w:rsid w:val="4AEA1603"/>
    <w:rsid w:val="4C0D564C"/>
    <w:rsid w:val="4C4D7158"/>
    <w:rsid w:val="4D1C6A8A"/>
    <w:rsid w:val="4D7B6D45"/>
    <w:rsid w:val="4DD818A8"/>
    <w:rsid w:val="4E9250F3"/>
    <w:rsid w:val="4ED17A95"/>
    <w:rsid w:val="4F2C2CC8"/>
    <w:rsid w:val="4F635015"/>
    <w:rsid w:val="4F8D7306"/>
    <w:rsid w:val="4F9A1364"/>
    <w:rsid w:val="4F9B1E8C"/>
    <w:rsid w:val="502604F1"/>
    <w:rsid w:val="504057CE"/>
    <w:rsid w:val="506705A3"/>
    <w:rsid w:val="506B70F5"/>
    <w:rsid w:val="509364BD"/>
    <w:rsid w:val="51214B69"/>
    <w:rsid w:val="51BB0820"/>
    <w:rsid w:val="520F51DA"/>
    <w:rsid w:val="52254B03"/>
    <w:rsid w:val="52A70A5F"/>
    <w:rsid w:val="52B05B0F"/>
    <w:rsid w:val="532D49A2"/>
    <w:rsid w:val="53352960"/>
    <w:rsid w:val="53CC1AFA"/>
    <w:rsid w:val="54E53DB0"/>
    <w:rsid w:val="55233F85"/>
    <w:rsid w:val="55636A34"/>
    <w:rsid w:val="55735269"/>
    <w:rsid w:val="55D776C8"/>
    <w:rsid w:val="55E435CC"/>
    <w:rsid w:val="56EA76A9"/>
    <w:rsid w:val="5748101C"/>
    <w:rsid w:val="578B3BBA"/>
    <w:rsid w:val="5795294C"/>
    <w:rsid w:val="57AC4777"/>
    <w:rsid w:val="57BA60B8"/>
    <w:rsid w:val="57E01732"/>
    <w:rsid w:val="57E23259"/>
    <w:rsid w:val="57ED27E8"/>
    <w:rsid w:val="589852CE"/>
    <w:rsid w:val="58EB265D"/>
    <w:rsid w:val="592A32EE"/>
    <w:rsid w:val="595D61A4"/>
    <w:rsid w:val="5BFA5736"/>
    <w:rsid w:val="5C307830"/>
    <w:rsid w:val="5C6B0226"/>
    <w:rsid w:val="5DC809DB"/>
    <w:rsid w:val="5E9735AA"/>
    <w:rsid w:val="5EB0424F"/>
    <w:rsid w:val="5ED76CF4"/>
    <w:rsid w:val="5F1C3453"/>
    <w:rsid w:val="5F704F2E"/>
    <w:rsid w:val="5FF016B7"/>
    <w:rsid w:val="600D7913"/>
    <w:rsid w:val="604015E2"/>
    <w:rsid w:val="604638DA"/>
    <w:rsid w:val="605714B4"/>
    <w:rsid w:val="605E7858"/>
    <w:rsid w:val="6071273C"/>
    <w:rsid w:val="60A8798F"/>
    <w:rsid w:val="616858E1"/>
    <w:rsid w:val="616A7A88"/>
    <w:rsid w:val="624E5022"/>
    <w:rsid w:val="633B1DC6"/>
    <w:rsid w:val="634D41FC"/>
    <w:rsid w:val="637E2D00"/>
    <w:rsid w:val="6454512F"/>
    <w:rsid w:val="65395C14"/>
    <w:rsid w:val="65407555"/>
    <w:rsid w:val="659F2EE7"/>
    <w:rsid w:val="66DC4CD4"/>
    <w:rsid w:val="672B37A5"/>
    <w:rsid w:val="67300607"/>
    <w:rsid w:val="67594E7D"/>
    <w:rsid w:val="67CF3DD1"/>
    <w:rsid w:val="68053C5C"/>
    <w:rsid w:val="683309FF"/>
    <w:rsid w:val="69943761"/>
    <w:rsid w:val="69DA2F65"/>
    <w:rsid w:val="6A39597B"/>
    <w:rsid w:val="6A661600"/>
    <w:rsid w:val="6A950C5F"/>
    <w:rsid w:val="6B402CC7"/>
    <w:rsid w:val="6C3E04B6"/>
    <w:rsid w:val="6CC309A6"/>
    <w:rsid w:val="6D0E1325"/>
    <w:rsid w:val="6D1E4B6F"/>
    <w:rsid w:val="6D5A62A9"/>
    <w:rsid w:val="6DED45EA"/>
    <w:rsid w:val="6EE15284"/>
    <w:rsid w:val="6F70671F"/>
    <w:rsid w:val="70765E85"/>
    <w:rsid w:val="723C5781"/>
    <w:rsid w:val="729E3C00"/>
    <w:rsid w:val="72E65EE3"/>
    <w:rsid w:val="73616A73"/>
    <w:rsid w:val="73A4187D"/>
    <w:rsid w:val="73E029AB"/>
    <w:rsid w:val="74D45E90"/>
    <w:rsid w:val="74EC67B2"/>
    <w:rsid w:val="74EF4D25"/>
    <w:rsid w:val="75F86351"/>
    <w:rsid w:val="76080876"/>
    <w:rsid w:val="765308A9"/>
    <w:rsid w:val="767B6604"/>
    <w:rsid w:val="78B65AA1"/>
    <w:rsid w:val="7946030C"/>
    <w:rsid w:val="796B7ADE"/>
    <w:rsid w:val="7A004218"/>
    <w:rsid w:val="7B944FB6"/>
    <w:rsid w:val="7C4E38B2"/>
    <w:rsid w:val="7C5168F2"/>
    <w:rsid w:val="7C525001"/>
    <w:rsid w:val="7C8D2B9F"/>
    <w:rsid w:val="7D371B7B"/>
    <w:rsid w:val="7EB36BE4"/>
    <w:rsid w:val="7F4E78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20" w:lineRule="exact"/>
    </w:pPr>
    <w:rPr>
      <w:rFonts w:ascii="Times New Roman" w:hAnsi="Times New Roman" w:eastAsia="Times New Roman"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unhideWhenUsed/>
    <w:qFormat/>
    <w:uiPriority w:val="0"/>
    <w:pPr>
      <w:spacing w:beforeAutospacing="1" w:afterAutospacing="1"/>
    </w:pPr>
  </w:style>
  <w:style w:type="table" w:styleId="7">
    <w:name w:val="Table Grid"/>
    <w:basedOn w:val="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Normal_0"/>
    <w:qFormat/>
    <w:uiPriority w:val="0"/>
    <w:pPr>
      <w:spacing w:before="120" w:after="240" w:line="240" w:lineRule="atLeast"/>
      <w:jc w:val="both"/>
    </w:pPr>
    <w:rPr>
      <w:rFonts w:asciiTheme="minorHAnsi" w:hAnsiTheme="minorHAnsi" w:eastAsiaTheme="minorEastAsia" w:cstheme="minorBidi"/>
      <w:sz w:val="22"/>
      <w:szCs w:val="22"/>
      <w:lang w:val="en-US" w:eastAsia="en-US" w:bidi="ar-SA"/>
    </w:rPr>
  </w:style>
  <w:style w:type="character" w:customStyle="1" w:styleId="14">
    <w:name w:val="日期 Char"/>
    <w:basedOn w:val="8"/>
    <w:link w:val="2"/>
    <w:semiHidden/>
    <w:qFormat/>
    <w:uiPriority w:val="99"/>
    <w:rPr>
      <w:rFonts w:ascii="Times New Roman" w:hAnsi="Times New Roman" w:eastAsia="Times New Roman" w:cs="Times New Roman"/>
      <w:kern w:val="0"/>
      <w:sz w:val="24"/>
      <w:szCs w:val="24"/>
    </w:rPr>
  </w:style>
  <w:style w:type="paragraph" w:customStyle="1" w:styleId="15">
    <w:name w:val="无间隔1"/>
    <w:basedOn w:val="1"/>
    <w:qFormat/>
    <w:uiPriority w:val="0"/>
    <w:pPr>
      <w:spacing w:line="300" w:lineRule="exact"/>
    </w:pPr>
    <w:rPr>
      <w:rFonts w:ascii="Calibri" w:hAnsi="Calibri" w:eastAsia="宋体"/>
      <w:kern w:val="2"/>
      <w:sz w:val="21"/>
      <w:szCs w:val="21"/>
    </w:rPr>
  </w:style>
  <w:style w:type="paragraph" w:styleId="16">
    <w:name w:val="List Paragraph"/>
    <w:basedOn w:val="1"/>
    <w:qFormat/>
    <w:uiPriority w:val="99"/>
    <w:pPr>
      <w:widowControl w:val="0"/>
      <w:spacing w:line="240" w:lineRule="auto"/>
      <w:ind w:firstLine="420" w:firstLineChars="200"/>
      <w:jc w:val="both"/>
    </w:pPr>
    <w:rPr>
      <w:rFonts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CA66B-84E7-40A3-A1EA-658750315CC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2802</Words>
  <Characters>2993</Characters>
  <Lines>23</Lines>
  <Paragraphs>6</Paragraphs>
  <TotalTime>16</TotalTime>
  <ScaleCrop>false</ScaleCrop>
  <LinksUpToDate>false</LinksUpToDate>
  <CharactersWithSpaces>3143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2020-01-13T06:04:00Z</dcterms:created>
  <dc:creator>Thinkpad</dc:creator>
  <cp:lastModifiedBy>Administrator</cp:lastModifiedBy>
  <cp:lastPrinted>2018-04-20T07:39:00Z</cp:lastPrinted>
  <dcterms:modified xsi:type="dcterms:W3CDTF">2020-03-09T08:27:27Z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